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82" w:rsidRDefault="00682682" w:rsidP="00682682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  <w:r w:rsidRPr="003037C4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იჯარის</w:t>
      </w:r>
      <w:r w:rsidR="00367ED1">
        <w:rPr>
          <w:rFonts w:ascii="Sylfaen" w:eastAsia="Times New Roman" w:hAnsi="Sylfaen" w:cs="Sylfaen"/>
          <w:b/>
          <w:bCs/>
          <w:caps/>
          <w:sz w:val="36"/>
          <w:szCs w:val="36"/>
          <w:lang w:eastAsia="ka-GE"/>
        </w:rPr>
        <w:t xml:space="preserve"> </w:t>
      </w:r>
      <w:r w:rsidRPr="003037C4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:rsidR="00763926" w:rsidRPr="003037C4" w:rsidRDefault="00763926" w:rsidP="00682682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3037C4" w:rsidRPr="006954EA" w:rsidRDefault="003037C4" w:rsidP="003037C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                           </w:t>
      </w:r>
      <w:r w:rsidR="00FF55F9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01 იანვარი 20</w:t>
      </w:r>
      <w:r w:rsidR="00FF55F9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3037C4" w:rsidRPr="006954EA" w:rsidRDefault="003037C4" w:rsidP="003037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3037C4" w:rsidRDefault="003037C4" w:rsidP="003037C4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="00367ED1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582E7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__________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582E7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582E7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582E7A">
        <w:rPr>
          <w:rFonts w:ascii="Sylfaen" w:eastAsia="Times New Roman" w:hAnsi="Sylfaen" w:cs="Arial"/>
          <w:sz w:val="23"/>
          <w:szCs w:val="23"/>
          <w:lang w:val="ka-GE"/>
        </w:rPr>
        <w:t>____________</w:t>
      </w:r>
      <w:r>
        <w:rPr>
          <w:rFonts w:ascii="Sylfaen" w:eastAsia="Times New Roman" w:hAnsi="Sylfaen" w:cs="Arial"/>
          <w:sz w:val="23"/>
          <w:szCs w:val="23"/>
          <w:lang w:val="ka-GE"/>
        </w:rPr>
        <w:t xml:space="preserve"> 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ვდებთ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367ED1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3037C4" w:rsidRDefault="003037C4" w:rsidP="003037C4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682682" w:rsidRPr="00367ED1" w:rsidRDefault="00682682" w:rsidP="00367ED1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367ED1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გადასცემს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იღებს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დროებით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მფლობელობაში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დასარგებლობაში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1.2.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პუნქტში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ქონებას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 „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ოდენობითა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ვადებში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გადაუხადოს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მეიჯარეს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ქირა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9C4303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ქონება: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br/>
        <w:t>მისამართი</w:t>
      </w:r>
      <w:r w:rsidR="003037C4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 ____________________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ფართი</w:t>
      </w:r>
      <w:r w:rsidR="003037C4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-------------------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საკადასტრო კოდი</w:t>
      </w:r>
      <w:r w:rsidR="003037C4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--</w:t>
      </w:r>
    </w:p>
    <w:p w:rsidR="00682682" w:rsidRPr="009C4303" w:rsidRDefault="00682682" w:rsidP="003037C4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იჯარის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გამცემი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ხელმოწერისთანავე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გადასცემს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იჯარის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მიმღებს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დაქირავებულ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ქონება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3037C4" w:rsidRPr="003037C4" w:rsidRDefault="003037C4" w:rsidP="003037C4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682682" w:rsidRPr="00367ED1" w:rsidRDefault="00682682" w:rsidP="00367ED1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საიჯარო</w:t>
      </w:r>
      <w:r w:rsidR="00367ED1" w:rsidRPr="00367ED1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ქირის</w:t>
      </w:r>
      <w:r w:rsidR="00367ED1" w:rsidRPr="00367ED1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ოდენობა</w:t>
      </w:r>
      <w:r w:rsidR="00367ED1" w:rsidRPr="00367ED1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367ED1" w:rsidRPr="00367ED1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გადახდის</w:t>
      </w:r>
      <w:r w:rsidR="00367ED1" w:rsidRPr="00367ED1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67ED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:rsidR="009C4303" w:rsidRPr="009C4303" w:rsidRDefault="00682682" w:rsidP="003037C4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ქირის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ოდენობა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="003037C4"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100 (ას) ლარს დღგს ჩათვლით.</w:t>
      </w:r>
    </w:p>
    <w:p w:rsidR="009C4303" w:rsidRDefault="00682682" w:rsidP="003037C4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გადახდა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მომდევნო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თვის</w:t>
      </w:r>
      <w:r w:rsidR="003037C4" w:rsidRPr="009C4303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03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რიცხვამდე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ანგარიშსწორების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საბანკო</w:t>
      </w:r>
      <w:r w:rsidR="00367ED1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რეკვიზიტებზე</w:t>
      </w:r>
      <w:r w:rsidR="003037C4" w:rsidRPr="009C4303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: </w:t>
      </w:r>
    </w:p>
    <w:p w:rsidR="009C4303" w:rsidRDefault="009C4303" w:rsidP="009C4303">
      <w:pPr>
        <w:pStyle w:val="ListParagraph"/>
        <w:shd w:val="clear" w:color="auto" w:fill="FFFFFF"/>
        <w:spacing w:after="0" w:line="450" w:lineRule="atLeast"/>
        <w:ind w:left="73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9C4303" w:rsidRDefault="009C4303" w:rsidP="009C4303">
      <w:pPr>
        <w:pStyle w:val="ListParagraph"/>
        <w:shd w:val="clear" w:color="auto" w:fill="FFFFFF"/>
        <w:spacing w:after="0" w:line="450" w:lineRule="atLeast"/>
        <w:ind w:left="735"/>
        <w:jc w:val="both"/>
        <w:rPr>
          <w:rFonts w:ascii="Sylfaen" w:eastAsia="Times New Roman" w:hAnsi="Sylfaen" w:cs="Arial"/>
          <w:sz w:val="23"/>
          <w:szCs w:val="23"/>
          <w:lang w:val="ka-GE"/>
        </w:rPr>
      </w:pPr>
    </w:p>
    <w:p w:rsidR="00682682" w:rsidRPr="009C4303" w:rsidRDefault="00682682" w:rsidP="003037C4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/>
        </w:rPr>
      </w:pP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მოიჯარეს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ყოველთვიურად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გადარიცხვის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ანგარიშსწორების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ვადაგადაცილებაზე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დაერიცხება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საურავი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რომლის</w:t>
      </w:r>
      <w:r w:rsidR="00E9390D" w:rsidRPr="009C4303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ოდენობა</w:t>
      </w:r>
      <w:r w:rsidR="00E9390D" w:rsidRPr="009C4303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შეადგენს</w:t>
      </w:r>
      <w:r w:rsidR="00E9390D" w:rsidRPr="009C4303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ყოველ</w:t>
      </w:r>
      <w:r w:rsidR="00E9390D" w:rsidRPr="009C4303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გადაცილებულ</w:t>
      </w:r>
      <w:r w:rsidR="00E9390D" w:rsidRPr="009C4303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დღეზე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 </w:t>
      </w:r>
      <w:r w:rsidR="003037C4" w:rsidRPr="009C4303">
        <w:rPr>
          <w:rFonts w:ascii="Sylfaen" w:eastAsia="Times New Roman" w:hAnsi="Sylfaen" w:cs="Arial"/>
          <w:color w:val="FF0000"/>
          <w:sz w:val="23"/>
          <w:szCs w:val="23"/>
          <w:lang w:val="ka-GE"/>
        </w:rPr>
        <w:t>0,1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%.</w:t>
      </w:r>
    </w:p>
    <w:p w:rsidR="00682682" w:rsidRPr="009C4303" w:rsidRDefault="00682682" w:rsidP="00E9390D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9390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მხარეთა</w:t>
      </w:r>
      <w:r w:rsidR="00E9390D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E9390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E9390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–</w:t>
      </w:r>
      <w:r w:rsidRPr="00E9390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</w:p>
    <w:p w:rsidR="009C4303" w:rsidRPr="00E9390D" w:rsidRDefault="009C4303" w:rsidP="009C4303">
      <w:pPr>
        <w:pStyle w:val="ListParagraph"/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Arial" w:eastAsia="Times New Roman" w:hAnsi="Arial" w:cs="Arial"/>
          <w:b/>
          <w:sz w:val="23"/>
          <w:szCs w:val="23"/>
          <w:lang w:val="ka-GE" w:eastAsia="ka-GE"/>
        </w:rPr>
        <w:t>„</w:t>
      </w:r>
      <w:r w:rsidRPr="009C4303">
        <w:rPr>
          <w:rFonts w:ascii="Sylfaen" w:eastAsia="Times New Roman" w:hAnsi="Sylfaen" w:cs="Sylfaen"/>
          <w:b/>
          <w:sz w:val="23"/>
          <w:szCs w:val="23"/>
          <w:lang w:val="ka-GE" w:eastAsia="ka-GE"/>
        </w:rPr>
        <w:t>მეიჯარე</w:t>
      </w:r>
      <w:r w:rsidRPr="009C4303">
        <w:rPr>
          <w:rFonts w:ascii="Arial" w:eastAsia="Times New Roman" w:hAnsi="Arial" w:cs="Arial"/>
          <w:b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b/>
          <w:sz w:val="23"/>
          <w:szCs w:val="23"/>
          <w:lang w:val="ka-GE" w:eastAsia="ka-GE"/>
        </w:rPr>
        <w:t>ვალდებულია</w:t>
      </w:r>
      <w:r w:rsidRPr="009C4303">
        <w:rPr>
          <w:rFonts w:ascii="Arial" w:eastAsia="Times New Roman" w:hAnsi="Arial" w:cs="Arial"/>
          <w:b/>
          <w:sz w:val="23"/>
          <w:szCs w:val="23"/>
          <w:lang w:val="ka-GE" w:eastAsia="ka-GE"/>
        </w:rPr>
        <w:t>:</w:t>
      </w:r>
    </w:p>
    <w:p w:rsidR="009C4303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გადასცეს მოიჯარეს ნივთბრივად </w:t>
      </w:r>
      <w:r w:rsidR="003037C4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და უფლებრივად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უანკლო ნივთი (საიჯარო ფართი); ხელშეკრულების ვადის გასვლამდე არ შეწყვიტოს წინამდებარე ხელშეკრულება, თუ „მოიჯარე“ პირნათლად ასრულებს ხელშეკრულებით გათვალისწინებულ ვალდებულებებს. საიჯარო ფართი გაცემულია იჯარით და წინამდებარე ხელშეკრულების ვადის ამოწურვამდე მოიჯარის ყველა უფლება ახალი მე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საკუთრის მიმართ დარჩეს უცვლელი.</w:t>
      </w:r>
    </w:p>
    <w:p w:rsidR="009C4303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გაქირავების მომენტში მეიჯარე ვალდებულია დაფარული ჰქონდეს კომუნალური გადასახადები (ელ. ენერგია, წყალი, ბუნებრივი აირი, ტელეფონის სააბონენტო გადასახადი, დასუფთავების და სხვა.)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 „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მეიჯარე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“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უფლებასიტოვებს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ფართისგაყიდვისშემთხვევაში</w:t>
      </w:r>
      <w:r w:rsidR="003037C4" w:rsidRPr="009C4303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30 დღით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ადრე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აცნობოს„მოიჯარე“ ს ხელშეკრულების 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 თაობაზე.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„მეიჯარე“ ვალდებულია თავად გადაიხადოს საქართველოში მოქმედი კანონით გათვალისწინებული გადასახადები რომლებიც გამომდინარეობს იჯარით გაცემული ქონებიდან მიღებული </w:t>
      </w:r>
      <w:r w:rsidR="00A457D5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შემოსავლებით.</w:t>
      </w:r>
    </w:p>
    <w:p w:rsidR="009C4303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b/>
          <w:sz w:val="23"/>
          <w:szCs w:val="23"/>
          <w:lang w:val="ka-GE" w:eastAsia="ka-GE"/>
        </w:rPr>
        <w:t xml:space="preserve"> „მოჯარე“ ვალდებულია: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 ვადის განმავლობაში გადაიხადოს ყველა კომუნალური გადასახადები (ელ. ენერგია, წყალი, ბუნებრივი აირი, ტელეფონის სააბონენტო გად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ასახადი, დასუფთავების და სხვა.)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უზრუნველყოს ფართის მიმდინარე რემონტი საკუთარი სახსრებით და მოიყვანოს იგი სამუშაო პირობე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>ბისათვის საჭირო მდგომარეობაში.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გამოიყენოს იჯარით აღებული 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>ფართი მხოლოდ დანიშნულებისამებრ.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საიჯარო ფართზე თავისი შეცდომით ან დაუდევრობით მიყენებული ზიანი 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გამოასწოროს საკუთარი სახსრებით.</w:t>
      </w:r>
    </w:p>
    <w:p w:rsid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არ გასცეს ფართი ქვეიჯარით მეიჯარ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ის წერილობოთი თანხმობის გარეშე.</w:t>
      </w:r>
    </w:p>
    <w:p w:rsidR="00682682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 ან წერილობით შეატყობინოს მიჯარეს იმ გარემოებების შესახებ, რომლებიც ქმნიან შენობის დაზიანები</w:t>
      </w:r>
      <w:r w:rsidR="00EE7CC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საფრთხეს.</w:t>
      </w:r>
    </w:p>
    <w:p w:rsidR="00682682" w:rsidRPr="00E9390D" w:rsidRDefault="00682682" w:rsidP="00E9390D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9390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მოიჯარის</w:t>
      </w:r>
      <w:r w:rsidR="00E9390D" w:rsidRPr="00E9390D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E9390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უფლებამოსილება</w:t>
      </w:r>
    </w:p>
    <w:p w:rsidR="009C4303" w:rsidRPr="009C4303" w:rsidRDefault="00682682" w:rsidP="0068268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კანონდმებლობის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დაკიდოს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გამოაკრას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აბრები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მათ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E9390D" w:rsidRPr="009C4303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სარე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კ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ლამო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ინფორმაციის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ფართის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შიდა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გარე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კედლებზე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9C4303" w:rsidRDefault="00682682" w:rsidP="0068268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სურვილისამებრ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საკუთარი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ხარჯით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შექმნას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ერთიანი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საკომუნიკაციო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ინფრასტრუქტურა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მოიცავს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იჯარით</w:t>
      </w:r>
      <w:r w:rsidR="00E9390D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უზრუნველყოფას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სატელეფონ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ო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ინტერნეტ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–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ქსელისა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სიგნალიზაციის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ქსელებით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შეწყვეტისას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თან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წაიღოს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იჯარის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საგანზე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დამონტაჟებული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მოწყობილობა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დანადგარი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ავეჯი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ნივთები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რომელთა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მოხსნაც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მოიჯარემ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უზრუნველყოს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მოწყობილობა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–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დანადგარების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ნივთების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გატანა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იჯარის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დაზიანების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გარეშე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დაზიანებების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საკუთარი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ხარჯით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აღმოფხვრას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9C4303"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დაზიანებები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3037C4" w:rsidRDefault="00682682" w:rsidP="00682682">
      <w:p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3037C4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:rsidR="00682682" w:rsidRPr="009C4303" w:rsidRDefault="00682682" w:rsidP="009C430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მოქმედების</w:t>
      </w:r>
      <w:r w:rsid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</w:p>
    <w:p w:rsidR="009C4303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წინამდებარეხელშეკრულებადადებულია</w:t>
      </w:r>
      <w:r w:rsidR="003037C4" w:rsidRPr="009C4303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11 (თერთმეტი)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თვისვადითდაძალაშია</w:t>
      </w:r>
      <w:r w:rsidR="003037C4" w:rsidRPr="009C4303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---------- 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დან</w:t>
      </w:r>
      <w:r w:rsidR="003037C4" w:rsidRPr="009C4303">
        <w:rPr>
          <w:rFonts w:ascii="Sylfaen" w:eastAsia="Times New Roman" w:hAnsi="Sylfaen" w:cs="Arial"/>
          <w:color w:val="FF0000"/>
          <w:sz w:val="23"/>
          <w:szCs w:val="23"/>
          <w:lang w:val="ka-GE"/>
        </w:rPr>
        <w:t>-------------</w:t>
      </w:r>
      <w:r w:rsidRPr="009C430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ჩათვლით</w:t>
      </w:r>
      <w:r w:rsidRPr="009C4303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682682" w:rsidRPr="009C4303" w:rsidRDefault="00682682" w:rsidP="009C430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მოქმედების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გაგრძელება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ორმხრივი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9C430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საფუძლველზე</w:t>
      </w:r>
      <w:r w:rsidRPr="009C430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9C4303" w:rsidRDefault="00682682" w:rsidP="009C430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ფორს</w:t>
      </w:r>
      <w:r w:rsid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9C430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მაჟორი</w:t>
      </w:r>
    </w:p>
    <w:p w:rsidR="005A3B7A" w:rsidRDefault="00682682" w:rsidP="005A3B7A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თავისუფლედებიან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შეუსრულებლობით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გამოწვეული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პასუხისმგებლობისგან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გამოწვეულია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დაუძლეველი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სტიქიური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უბედურება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ეპიდემია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ომიდასხვა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ზეგავლენით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რომელთა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წინასწარ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490DD8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განსაზღ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ვრა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თავიდან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აცილება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აღემატება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გონივრულ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კონტროლს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შესაძლებლობებს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დაუძლეველ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ძალით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გამოწვეული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მოვლენები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ეწოდება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წარმოშობასა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განვითარება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ზემხარეებს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ზეგავლენის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შეუძლიათ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ფორს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-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მაჟორი</w:t>
      </w:r>
      <w:r w:rsidR="005A3B7A">
        <w:rPr>
          <w:rFonts w:ascii="Arial" w:eastAsia="Times New Roman" w:hAnsi="Arial" w:cs="Arial"/>
          <w:sz w:val="23"/>
          <w:szCs w:val="23"/>
          <w:lang w:val="ka-GE" w:eastAsia="ka-GE"/>
        </w:rPr>
        <w:t>)</w:t>
      </w:r>
    </w:p>
    <w:p w:rsidR="00682682" w:rsidRPr="005A3B7A" w:rsidRDefault="00682682" w:rsidP="005A3B7A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რომელსაც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მიზეზად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დაუძლეველი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მოჰყავს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დაუყოვნებლივ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ასეთი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დადგომის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თაობაზე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ამასთან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წარმოადგინოს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დაუძლეველი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არსებობის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დამადასტურებელი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დოკუმენტი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ასეთი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გაგრძელდა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30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მეტი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უფლებამოსილნი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არიან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მოშალონ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3037C4" w:rsidRPr="003037C4" w:rsidRDefault="003037C4" w:rsidP="00682682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682682" w:rsidRPr="005A3B7A" w:rsidRDefault="00682682" w:rsidP="005A3B7A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შეწყვეტის</w:t>
      </w:r>
      <w:r w:rsid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  <w:r w:rsid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პიროებები</w:t>
      </w:r>
    </w:p>
    <w:p w:rsidR="005A3B7A" w:rsidRPr="005A3B7A" w:rsidRDefault="00682682" w:rsidP="005A3B7A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შეწყვეტილად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ითვლება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ამოწურვის</w:t>
      </w:r>
      <w:r w:rsidR="005A3B7A"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თანავე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5A3B7A" w:rsidRPr="005A3B7A" w:rsidRDefault="00682682" w:rsidP="005A3B7A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ვადამდე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შესაძლბელია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5A3B7A" w:rsidRDefault="00682682" w:rsidP="005A3B7A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ცალმხრივად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ვადამდე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ნაკისრ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სისტემატიურად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არღვევს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ბ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მნიშვნელოვნად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აზიანებს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გადაცემულ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ფართს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ქმნის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მნიშვნელოვანი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დაზიანების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;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იხდის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ყოველთვიურ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ქირას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5A3B7A" w:rsidRDefault="00682682" w:rsidP="005A3B7A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დავის</w:t>
      </w:r>
      <w:r w:rsid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გადაწყვეტა</w:t>
      </w:r>
    </w:p>
    <w:p w:rsidR="00682682" w:rsidRPr="005A3B7A" w:rsidRDefault="00682682" w:rsidP="005A3B7A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წარმოქმნილი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ურთიერთშეთანხმების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ვერ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მოხერხდა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მეშვეობით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5A3B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5A3B7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5A3B7A" w:rsidRDefault="00682682" w:rsidP="005A3B7A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დასკვნითი</w:t>
      </w:r>
      <w:r w:rsidR="005A3B7A"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A3B7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</w:p>
    <w:p w:rsidR="0068333D" w:rsidRDefault="00682682" w:rsidP="0068333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</w:t>
      </w:r>
      <w:r w:rsidR="00815491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დამატებების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შეტანილიქნეს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მხოლოდ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რომელსაც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დაასატურებენ</w:t>
      </w:r>
      <w:r w:rsidR="0068333D"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ხელმოწერით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333D" w:rsidRDefault="00682682" w:rsidP="0068333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ამ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>–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მოვალეობა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ვრცელდება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ორივე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მონაცვლეობაზე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წარმომადგენლობაზე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333D" w:rsidRDefault="00682682" w:rsidP="0068333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წიანმდებარე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რომელიმე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იწვევს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მთელი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პუნქტების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ბათილობას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2682" w:rsidRPr="0068333D" w:rsidRDefault="00682682" w:rsidP="0068333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სამ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თანაბარმნიშვნელოვან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ეგზემპლარად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ეგზემპლარი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გადაეცემათ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ერთიეგზემპლარი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კი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სარეგისტრაციოდ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წარედგინება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საჯარო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რეესტრის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ეროვნულ</w:t>
      </w:r>
      <w:r w:rsidR="0068333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333D">
        <w:rPr>
          <w:rFonts w:ascii="Sylfaen" w:eastAsia="Times New Roman" w:hAnsi="Sylfaen" w:cs="Sylfaen"/>
          <w:sz w:val="23"/>
          <w:szCs w:val="23"/>
          <w:lang w:val="ka-GE" w:eastAsia="ka-GE"/>
        </w:rPr>
        <w:t>სააგენტოს</w:t>
      </w:r>
      <w:r w:rsidRPr="0068333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3037C4" w:rsidRPr="003037C4" w:rsidRDefault="003037C4" w:rsidP="00682682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3037C4" w:rsidRPr="00531C2A" w:rsidRDefault="00682682" w:rsidP="003037C4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  <w:r w:rsidRPr="003037C4">
        <w:rPr>
          <w:rFonts w:ascii="Arial" w:eastAsia="Times New Roman" w:hAnsi="Arial" w:cs="Arial"/>
          <w:b/>
          <w:bCs/>
          <w:color w:val="auto"/>
          <w:sz w:val="23"/>
          <w:szCs w:val="23"/>
          <w:lang w:val="ka-GE" w:eastAsia="ka-GE"/>
        </w:rPr>
        <w:t xml:space="preserve">10. </w:t>
      </w:r>
      <w:r w:rsidRPr="003037C4">
        <w:rPr>
          <w:rFonts w:eastAsia="Times New Roman"/>
          <w:b/>
          <w:bCs/>
          <w:color w:val="auto"/>
          <w:sz w:val="23"/>
          <w:szCs w:val="23"/>
          <w:lang w:val="ka-GE" w:eastAsia="ka-GE"/>
        </w:rPr>
        <w:t>მხარეთარეკვიზიტები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3037C4" w:rsidRPr="00BF5B07" w:rsidTr="00EA58F7">
        <w:tc>
          <w:tcPr>
            <w:tcW w:w="4790" w:type="dxa"/>
          </w:tcPr>
          <w:p w:rsidR="003037C4" w:rsidRPr="001B0989" w:rsidRDefault="003037C4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color w:val="FF0000"/>
                <w:sz w:val="24"/>
                <w:szCs w:val="24"/>
                <w:lang w:val="ka-GE"/>
              </w:rPr>
            </w:pPr>
            <w:bookmarkStart w:id="0" w:name="_GoBack" w:colFirst="0" w:colLast="0"/>
            <w:r w:rsidRPr="001B0989">
              <w:rPr>
                <w:rFonts w:ascii="Sylfaen" w:hAnsi="Sylfaen" w:cs="Sylfaen"/>
                <w:b/>
                <w:bCs/>
                <w:color w:val="FF0000"/>
                <w:sz w:val="24"/>
                <w:szCs w:val="24"/>
                <w:lang w:val="ka-GE"/>
              </w:rPr>
              <w:t>მოიჯარე</w:t>
            </w:r>
          </w:p>
        </w:tc>
        <w:tc>
          <w:tcPr>
            <w:tcW w:w="4781" w:type="dxa"/>
          </w:tcPr>
          <w:p w:rsidR="003037C4" w:rsidRPr="00AF12CA" w:rsidRDefault="003037C4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მეიჯარე</w:t>
            </w:r>
          </w:p>
        </w:tc>
      </w:tr>
      <w:tr w:rsidR="003037C4" w:rsidRPr="00BF5B07" w:rsidTr="00EA58F7">
        <w:tc>
          <w:tcPr>
            <w:tcW w:w="4790" w:type="dxa"/>
          </w:tcPr>
          <w:p w:rsidR="003037C4" w:rsidRPr="001B0989" w:rsidRDefault="003037C4" w:rsidP="001B0989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1B0989">
              <w:rPr>
                <w:rFonts w:ascii="Sylfaen" w:hAnsi="Sylfaen"/>
                <w:b/>
                <w:color w:val="FF0000"/>
                <w:lang w:val="ka-GE"/>
              </w:rPr>
              <w:t xml:space="preserve">შპს </w:t>
            </w:r>
            <w:r w:rsidR="001B0989" w:rsidRPr="001B0989">
              <w:rPr>
                <w:rFonts w:ascii="Sylfaen" w:hAnsi="Sylfaen"/>
                <w:b/>
                <w:color w:val="FF0000"/>
                <w:lang w:val="ka-GE"/>
              </w:rPr>
              <w:t>ფინექსპერტიზა</w:t>
            </w:r>
          </w:p>
        </w:tc>
        <w:tc>
          <w:tcPr>
            <w:tcW w:w="4781" w:type="dxa"/>
          </w:tcPr>
          <w:p w:rsidR="003037C4" w:rsidRPr="00456678" w:rsidRDefault="003037C4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3037C4" w:rsidRPr="00BF5B07" w:rsidTr="00EA58F7">
        <w:tc>
          <w:tcPr>
            <w:tcW w:w="4790" w:type="dxa"/>
          </w:tcPr>
          <w:p w:rsidR="003037C4" w:rsidRPr="001B0989" w:rsidRDefault="003037C4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1B0989">
              <w:rPr>
                <w:rFonts w:ascii="Sylfaen" w:hAnsi="Sylfaen" w:cs="Sylfaen"/>
                <w:color w:val="FF0000"/>
              </w:rPr>
              <w:t>ქ</w:t>
            </w:r>
            <w:r w:rsidRPr="001B0989">
              <w:rPr>
                <w:color w:val="FF0000"/>
              </w:rPr>
              <w:t xml:space="preserve">. </w:t>
            </w:r>
            <w:proofErr w:type="spellStart"/>
            <w:r w:rsidRPr="001B0989">
              <w:rPr>
                <w:rFonts w:ascii="Sylfaen" w:hAnsi="Sylfaen" w:cs="Sylfaen"/>
                <w:color w:val="FF0000"/>
              </w:rPr>
              <w:t>თბილისი</w:t>
            </w:r>
            <w:proofErr w:type="spellEnd"/>
            <w:r w:rsidRPr="001B0989">
              <w:rPr>
                <w:color w:val="FF0000"/>
              </w:rPr>
              <w:t xml:space="preserve">, </w:t>
            </w:r>
          </w:p>
        </w:tc>
        <w:tc>
          <w:tcPr>
            <w:tcW w:w="4781" w:type="dxa"/>
          </w:tcPr>
          <w:p w:rsidR="003037C4" w:rsidRPr="007E56AE" w:rsidRDefault="003037C4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3037C4" w:rsidRPr="00BF5B07" w:rsidTr="00EA58F7">
        <w:tc>
          <w:tcPr>
            <w:tcW w:w="4790" w:type="dxa"/>
          </w:tcPr>
          <w:p w:rsidR="003037C4" w:rsidRPr="001B0989" w:rsidRDefault="003037C4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color w:val="FF0000"/>
                <w:lang w:val="ka-GE"/>
              </w:rPr>
            </w:pPr>
            <w:r w:rsidRPr="001B0989">
              <w:rPr>
                <w:rFonts w:ascii="Sylfaen" w:hAnsi="Sylfaen" w:cs="Sylfaen"/>
                <w:bCs/>
                <w:color w:val="FF0000"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3037C4" w:rsidRPr="004F444A" w:rsidRDefault="003037C4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3037C4" w:rsidRPr="00BF5B07" w:rsidTr="00EA58F7">
        <w:tc>
          <w:tcPr>
            <w:tcW w:w="4790" w:type="dxa"/>
          </w:tcPr>
          <w:p w:rsidR="003037C4" w:rsidRPr="001B0989" w:rsidRDefault="003037C4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color w:val="FF0000"/>
                <w:lang w:val="ka-GE"/>
              </w:rPr>
            </w:pPr>
            <w:r w:rsidRPr="001B0989">
              <w:rPr>
                <w:rFonts w:ascii="Sylfaen" w:hAnsi="Sylfaen" w:cs="Sylfaen"/>
                <w:bCs/>
                <w:color w:val="FF0000"/>
                <w:lang w:val="ka-GE"/>
              </w:rPr>
              <w:t>ბანკი:სს ”თიბისი ბანკი”</w:t>
            </w:r>
          </w:p>
          <w:p w:rsidR="003037C4" w:rsidRPr="001B0989" w:rsidRDefault="003037C4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  <w:color w:val="FF0000"/>
              </w:rPr>
            </w:pPr>
            <w:r w:rsidRPr="001B0989">
              <w:rPr>
                <w:rFonts w:ascii="Sylfaen" w:hAnsi="Sylfaen" w:cs="Sylfaen"/>
                <w:bCs/>
                <w:color w:val="FF0000"/>
                <w:lang w:val="ka-GE"/>
              </w:rPr>
              <w:t>ა/ა</w:t>
            </w:r>
          </w:p>
        </w:tc>
        <w:tc>
          <w:tcPr>
            <w:tcW w:w="4781" w:type="dxa"/>
          </w:tcPr>
          <w:p w:rsidR="003037C4" w:rsidRPr="003D6889" w:rsidRDefault="003037C4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3037C4" w:rsidRPr="00BF5B07" w:rsidTr="00EA58F7">
        <w:trPr>
          <w:trHeight w:val="70"/>
        </w:trPr>
        <w:tc>
          <w:tcPr>
            <w:tcW w:w="4790" w:type="dxa"/>
          </w:tcPr>
          <w:p w:rsidR="003037C4" w:rsidRPr="001B0989" w:rsidRDefault="003037C4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color w:val="FF0000"/>
              </w:rPr>
            </w:pPr>
          </w:p>
          <w:p w:rsidR="003037C4" w:rsidRPr="001B0989" w:rsidRDefault="003037C4" w:rsidP="00EA58F7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color w:val="FF0000"/>
                <w:lang w:val="ka-GE"/>
              </w:rPr>
            </w:pPr>
            <w:r w:rsidRPr="001B0989">
              <w:rPr>
                <w:rFonts w:ascii="Sylfaen" w:hAnsi="Sylfaen"/>
                <w:bCs/>
                <w:color w:val="FF0000"/>
                <w:lang w:val="ka-GE"/>
              </w:rPr>
              <w:t>დირექტორი:</w:t>
            </w:r>
          </w:p>
        </w:tc>
        <w:tc>
          <w:tcPr>
            <w:tcW w:w="4781" w:type="dxa"/>
          </w:tcPr>
          <w:p w:rsidR="003037C4" w:rsidRPr="00657ACF" w:rsidRDefault="003037C4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bookmarkEnd w:id="0"/>
    </w:tbl>
    <w:p w:rsidR="003037C4" w:rsidRPr="00AF60B2" w:rsidRDefault="003037C4" w:rsidP="003037C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F3E18" w:rsidRPr="003037C4" w:rsidRDefault="003F3E18" w:rsidP="003037C4">
      <w:pPr>
        <w:shd w:val="clear" w:color="auto" w:fill="FFFFFF"/>
        <w:spacing w:after="0" w:line="450" w:lineRule="atLeast"/>
        <w:jc w:val="center"/>
      </w:pPr>
    </w:p>
    <w:sectPr w:rsidR="003F3E18" w:rsidRPr="003037C4" w:rsidSect="00632D54">
      <w:headerReference w:type="default" r:id="rId9"/>
      <w:footerReference w:type="default" r:id="rId1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EC" w:rsidRDefault="006720EC" w:rsidP="00E01B35">
      <w:pPr>
        <w:spacing w:after="0" w:line="240" w:lineRule="auto"/>
      </w:pPr>
      <w:r>
        <w:separator/>
      </w:r>
    </w:p>
  </w:endnote>
  <w:endnote w:type="continuationSeparator" w:id="0">
    <w:p w:rsidR="006720EC" w:rsidRDefault="006720EC" w:rsidP="00E0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54" w:rsidRPr="001973CD" w:rsidRDefault="00632D54" w:rsidP="00632D54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E01B35" w:rsidRDefault="00E0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EC" w:rsidRDefault="006720EC" w:rsidP="00E01B35">
      <w:pPr>
        <w:spacing w:after="0" w:line="240" w:lineRule="auto"/>
      </w:pPr>
      <w:r>
        <w:separator/>
      </w:r>
    </w:p>
  </w:footnote>
  <w:footnote w:type="continuationSeparator" w:id="0">
    <w:p w:rsidR="006720EC" w:rsidRDefault="006720EC" w:rsidP="00E0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54" w:rsidRDefault="00632D54" w:rsidP="00632D54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3C4F"/>
    <w:multiLevelType w:val="multilevel"/>
    <w:tmpl w:val="2C74B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E8"/>
    <w:rsid w:val="00091A22"/>
    <w:rsid w:val="000C1010"/>
    <w:rsid w:val="000C3037"/>
    <w:rsid w:val="001B0989"/>
    <w:rsid w:val="001B4852"/>
    <w:rsid w:val="001C0050"/>
    <w:rsid w:val="00251DCE"/>
    <w:rsid w:val="00253B17"/>
    <w:rsid w:val="003037C4"/>
    <w:rsid w:val="00312236"/>
    <w:rsid w:val="00332C1D"/>
    <w:rsid w:val="00367ED1"/>
    <w:rsid w:val="00382AE4"/>
    <w:rsid w:val="003F3E18"/>
    <w:rsid w:val="004744F0"/>
    <w:rsid w:val="00482535"/>
    <w:rsid w:val="00490DD8"/>
    <w:rsid w:val="005023E8"/>
    <w:rsid w:val="00514F0A"/>
    <w:rsid w:val="0053449A"/>
    <w:rsid w:val="005469E7"/>
    <w:rsid w:val="00582E7A"/>
    <w:rsid w:val="0059602B"/>
    <w:rsid w:val="005A3B7A"/>
    <w:rsid w:val="00623F37"/>
    <w:rsid w:val="00632D54"/>
    <w:rsid w:val="006720EC"/>
    <w:rsid w:val="00682682"/>
    <w:rsid w:val="0068333D"/>
    <w:rsid w:val="00691AB9"/>
    <w:rsid w:val="007162E5"/>
    <w:rsid w:val="00763926"/>
    <w:rsid w:val="00815491"/>
    <w:rsid w:val="00865566"/>
    <w:rsid w:val="00896438"/>
    <w:rsid w:val="008A1A5A"/>
    <w:rsid w:val="00910D68"/>
    <w:rsid w:val="009210D5"/>
    <w:rsid w:val="00973647"/>
    <w:rsid w:val="009C4303"/>
    <w:rsid w:val="00A457D5"/>
    <w:rsid w:val="00AB1734"/>
    <w:rsid w:val="00AB4E85"/>
    <w:rsid w:val="00AC6861"/>
    <w:rsid w:val="00AE0EA7"/>
    <w:rsid w:val="00B146A8"/>
    <w:rsid w:val="00B37322"/>
    <w:rsid w:val="00BA3226"/>
    <w:rsid w:val="00C1584C"/>
    <w:rsid w:val="00C75C53"/>
    <w:rsid w:val="00C941AB"/>
    <w:rsid w:val="00D13FD3"/>
    <w:rsid w:val="00DF0819"/>
    <w:rsid w:val="00E01B35"/>
    <w:rsid w:val="00E51E2E"/>
    <w:rsid w:val="00E6031E"/>
    <w:rsid w:val="00E62CB0"/>
    <w:rsid w:val="00E82EFD"/>
    <w:rsid w:val="00E84735"/>
    <w:rsid w:val="00E87B79"/>
    <w:rsid w:val="00E9390D"/>
    <w:rsid w:val="00EE7CCD"/>
    <w:rsid w:val="00EF6EC8"/>
    <w:rsid w:val="00F06E64"/>
    <w:rsid w:val="00F76CC5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37"/>
  </w:style>
  <w:style w:type="paragraph" w:styleId="Heading2">
    <w:name w:val="heading 2"/>
    <w:basedOn w:val="Normal"/>
    <w:link w:val="Heading2Char"/>
    <w:uiPriority w:val="9"/>
    <w:qFormat/>
    <w:rsid w:val="0068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682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6826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682682"/>
  </w:style>
  <w:style w:type="paragraph" w:customStyle="1" w:styleId="Default">
    <w:name w:val="Default"/>
    <w:rsid w:val="003037C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35"/>
  </w:style>
  <w:style w:type="paragraph" w:styleId="Footer">
    <w:name w:val="footer"/>
    <w:basedOn w:val="Normal"/>
    <w:link w:val="FooterChar"/>
    <w:uiPriority w:val="99"/>
    <w:unhideWhenUsed/>
    <w:rsid w:val="00E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35"/>
  </w:style>
  <w:style w:type="character" w:styleId="Hyperlink">
    <w:name w:val="Hyperlink"/>
    <w:basedOn w:val="DefaultParagraphFont"/>
    <w:uiPriority w:val="99"/>
    <w:unhideWhenUsed/>
    <w:rsid w:val="00E01B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998B-07AB-4ED0-A63D-EE845526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14</cp:revision>
  <dcterms:created xsi:type="dcterms:W3CDTF">2017-01-23T09:28:00Z</dcterms:created>
  <dcterms:modified xsi:type="dcterms:W3CDTF">2020-03-15T19:25:00Z</dcterms:modified>
</cp:coreProperties>
</file>